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044FE" w:rsidRDefault="003240E7">
      <w:pPr>
        <w:jc w:val="center"/>
        <w:rPr>
          <w:rFonts w:ascii="PT Astra Serif" w:hAnsi="PT Astra Serif"/>
          <w:b/>
          <w:color w:val="1C1C1C"/>
        </w:rPr>
      </w:pPr>
      <w:r>
        <w:rPr>
          <w:rFonts w:ascii="PT Astra Serif" w:hAnsi="PT Astra Serif"/>
          <w:b/>
          <w:color w:val="1C1C1C"/>
        </w:rPr>
        <w:t>Н</w:t>
      </w:r>
      <w:bookmarkStart w:id="0" w:name="_GoBack"/>
      <w:bookmarkEnd w:id="0"/>
      <w:r>
        <w:rPr>
          <w:rFonts w:ascii="PT Astra Serif" w:hAnsi="PT Astra Serif"/>
          <w:b/>
          <w:color w:val="1C1C1C"/>
        </w:rPr>
        <w:t xml:space="preserve">АПОМИНАНИЕ </w:t>
      </w:r>
    </w:p>
    <w:p w14:paraId="02000000" w14:textId="77777777" w:rsidR="00E044FE" w:rsidRDefault="003240E7">
      <w:pPr>
        <w:jc w:val="center"/>
        <w:rPr>
          <w:rFonts w:ascii="PT Astra Serif" w:hAnsi="PT Astra Serif"/>
          <w:b/>
          <w:color w:val="1C1C1C"/>
        </w:rPr>
      </w:pPr>
      <w:r>
        <w:rPr>
          <w:rFonts w:ascii="PT Astra Serif" w:hAnsi="PT Astra Serif"/>
          <w:b/>
          <w:color w:val="1C1C1C"/>
        </w:rPr>
        <w:t xml:space="preserve">об ответственности за несанкционированное проникновение </w:t>
      </w:r>
    </w:p>
    <w:p w14:paraId="03000000" w14:textId="77777777" w:rsidR="00E044FE" w:rsidRDefault="003240E7">
      <w:pPr>
        <w:jc w:val="center"/>
        <w:rPr>
          <w:rFonts w:ascii="PT Astra Serif" w:hAnsi="PT Astra Serif"/>
          <w:b/>
          <w:color w:val="1C1C1C"/>
        </w:rPr>
      </w:pPr>
      <w:r>
        <w:rPr>
          <w:rFonts w:ascii="PT Astra Serif" w:hAnsi="PT Astra Serif"/>
          <w:b/>
          <w:color w:val="1C1C1C"/>
        </w:rPr>
        <w:t xml:space="preserve">на </w:t>
      </w:r>
      <w:proofErr w:type="spellStart"/>
      <w:r>
        <w:rPr>
          <w:rFonts w:ascii="PT Astra Serif" w:hAnsi="PT Astra Serif"/>
          <w:b/>
          <w:color w:val="1C1C1C"/>
        </w:rPr>
        <w:t>энергообъекты</w:t>
      </w:r>
      <w:proofErr w:type="spellEnd"/>
    </w:p>
    <w:p w14:paraId="04000000" w14:textId="77777777" w:rsidR="00E044FE" w:rsidRDefault="00E044FE">
      <w:pPr>
        <w:ind w:firstLine="709"/>
        <w:rPr>
          <w:rFonts w:ascii="PT Astra Serif" w:hAnsi="PT Astra Serif"/>
        </w:rPr>
      </w:pPr>
    </w:p>
    <w:p w14:paraId="05000000" w14:textId="77777777" w:rsidR="00E044FE" w:rsidRDefault="003240E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По информации Минэнерго России в субъектах Российской Федерации участились случаи совершения противоправных действий, в ходе которых злоумышленники стараются убедить граждан проникнуть на территорию электроподстанций с целью повреждения имущественного комп</w:t>
      </w:r>
      <w:r>
        <w:rPr>
          <w:rFonts w:ascii="PT Astra Serif" w:hAnsi="PT Astra Serif"/>
        </w:rPr>
        <w:t xml:space="preserve">лекса и совершения актов диверсионного характера. </w:t>
      </w:r>
    </w:p>
    <w:p w14:paraId="06000000" w14:textId="77777777" w:rsidR="00E044FE" w:rsidRDefault="003240E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Одним из способов совершения диверсий на объектах электроэнергетики является вовлечение подростков. Молодежь используется под психологическим воздействием, с помощью мошеннических схем, вербуется через Инт</w:t>
      </w:r>
      <w:r>
        <w:rPr>
          <w:rFonts w:ascii="PT Astra Serif" w:hAnsi="PT Astra Serif"/>
        </w:rPr>
        <w:t>ернет. </w:t>
      </w:r>
    </w:p>
    <w:p w14:paraId="07000000" w14:textId="77777777" w:rsidR="00E044FE" w:rsidRDefault="003240E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Уважаемые граждане, будьте бдительны и предупредите детей, несанкционированные и несогласованные действия могут привести к серьезным последствиям – </w:t>
      </w:r>
      <w:proofErr w:type="spellStart"/>
      <w:r>
        <w:rPr>
          <w:rFonts w:ascii="PT Astra Serif" w:hAnsi="PT Astra Serif"/>
        </w:rPr>
        <w:t>электротравмам</w:t>
      </w:r>
      <w:proofErr w:type="spellEnd"/>
      <w:r>
        <w:rPr>
          <w:rFonts w:ascii="PT Astra Serif" w:hAnsi="PT Astra Serif"/>
        </w:rPr>
        <w:t xml:space="preserve"> сторонних лиц (в том числе со смертельным исходом), технологическим нарушениям в рабо</w:t>
      </w:r>
      <w:r>
        <w:rPr>
          <w:rFonts w:ascii="PT Astra Serif" w:hAnsi="PT Astra Serif"/>
        </w:rPr>
        <w:t xml:space="preserve">те электросетевого комплекса.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Кроме того, существует риск масштабных отключений – незаконное воздействие на </w:t>
      </w:r>
      <w:proofErr w:type="spellStart"/>
      <w:r>
        <w:rPr>
          <w:rFonts w:ascii="PT Astra Serif" w:hAnsi="PT Astra Serif"/>
        </w:rPr>
        <w:t>энергообъекты</w:t>
      </w:r>
      <w:proofErr w:type="spellEnd"/>
      <w:r>
        <w:rPr>
          <w:rFonts w:ascii="PT Astra Serif" w:hAnsi="PT Astra Serif"/>
        </w:rPr>
        <w:t xml:space="preserve"> способно вызвать перебои в электроснабжении предприятий, больниц и других социально значимых учреждений.</w:t>
      </w:r>
    </w:p>
    <w:p w14:paraId="08000000" w14:textId="77777777" w:rsidR="00E044FE" w:rsidRDefault="003240E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Все случаи незаконного прони</w:t>
      </w:r>
      <w:r>
        <w:rPr>
          <w:rFonts w:ascii="PT Astra Serif" w:hAnsi="PT Astra Serif"/>
        </w:rPr>
        <w:t xml:space="preserve">кновения на объекты </w:t>
      </w:r>
      <w:proofErr w:type="spellStart"/>
      <w:r>
        <w:rPr>
          <w:rFonts w:ascii="PT Astra Serif" w:hAnsi="PT Astra Serif"/>
        </w:rPr>
        <w:t>энергосетевого</w:t>
      </w:r>
      <w:proofErr w:type="spellEnd"/>
      <w:r>
        <w:rPr>
          <w:rFonts w:ascii="PT Astra Serif" w:hAnsi="PT Astra Serif"/>
        </w:rPr>
        <w:t xml:space="preserve"> хозяйства расследуются с привлечением правоохранительных органов. Нарушители привлекаются к уголовной ответственности в соответствии с законодательством Российской Федерации.</w:t>
      </w:r>
    </w:p>
    <w:p w14:paraId="09000000" w14:textId="77777777" w:rsidR="00E044FE" w:rsidRDefault="003240E7">
      <w:pPr>
        <w:ind w:firstLine="709"/>
      </w:pPr>
      <w:r>
        <w:t xml:space="preserve">Ответственность за совершение противоправного </w:t>
      </w:r>
      <w:r>
        <w:t>деяния в отношении объекта электроэнергетики предусмотрена статьями Уголовного кодекса Российской Федерации (далее - УК РФ):</w:t>
      </w:r>
    </w:p>
    <w:p w14:paraId="0A000000" w14:textId="77777777" w:rsidR="00E044FE" w:rsidRDefault="003240E7">
      <w:pPr>
        <w:ind w:firstLine="709"/>
      </w:pPr>
      <w:r>
        <w:t>- Статьей 215.2 УК РФ предусмотрено максимальное наказание в виде лишения свободы сроком до трех лет;</w:t>
      </w:r>
    </w:p>
    <w:p w14:paraId="0B000000" w14:textId="77777777" w:rsidR="00E044FE" w:rsidRDefault="003240E7">
      <w:pPr>
        <w:ind w:firstLine="709"/>
        <w:rPr>
          <w:rFonts w:ascii="PT Astra Serif" w:hAnsi="PT Astra Serif"/>
        </w:rPr>
      </w:pPr>
      <w:r>
        <w:t>- Статьей 281 УК РФ за соверш</w:t>
      </w:r>
      <w:r>
        <w:t>ение диверсии предусмотрено наказание в виде лишения свободы на срок от десяти до двадцати лет.</w:t>
      </w:r>
    </w:p>
    <w:p w14:paraId="0C000000" w14:textId="77777777" w:rsidR="00E044FE" w:rsidRDefault="003240E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Для информирования человека о приближении к установке, которая находится под напряжением, применяются предупреждающие знаки и таблички. Знак безопасности «Остор</w:t>
      </w:r>
      <w:r>
        <w:rPr>
          <w:rFonts w:ascii="PT Astra Serif" w:hAnsi="PT Astra Serif"/>
        </w:rPr>
        <w:t>ожно! Электрическое напряжение» в виде желтого треугольника с черным кантом и черной стрелой в центре устанавливается на дверях подстанций, электростанций и электроустановок. Таблички «Не влезай! Убьет», «Стой! Напряжение» предупреждают человека о том, что</w:t>
      </w:r>
      <w:r>
        <w:rPr>
          <w:rFonts w:ascii="PT Astra Serif" w:hAnsi="PT Astra Serif"/>
        </w:rPr>
        <w:t xml:space="preserve"> он приближается к элементам, которые находятся под опасным напряжением.</w:t>
      </w:r>
    </w:p>
    <w:p w14:paraId="0D000000" w14:textId="77777777" w:rsidR="00E044FE" w:rsidRDefault="003240E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обнаружении случаев вандализма на </w:t>
      </w:r>
      <w:proofErr w:type="spellStart"/>
      <w:r>
        <w:rPr>
          <w:rFonts w:ascii="PT Astra Serif" w:hAnsi="PT Astra Serif"/>
        </w:rPr>
        <w:t>энергообъектах</w:t>
      </w:r>
      <w:proofErr w:type="spellEnd"/>
      <w:r>
        <w:rPr>
          <w:rFonts w:ascii="PT Astra Serif" w:hAnsi="PT Astra Serif"/>
        </w:rPr>
        <w:t xml:space="preserve"> необходимо незамедлительно сообщить по бесплатной горячей линии энергетиков «Светлая линия 220» 8-800-220-0-220 или в правоохранит</w:t>
      </w:r>
      <w:r>
        <w:rPr>
          <w:rFonts w:ascii="PT Astra Serif" w:hAnsi="PT Astra Serif"/>
        </w:rPr>
        <w:t>ельные органы по телефону доверия</w:t>
      </w:r>
      <w:r>
        <w:rPr>
          <w:rFonts w:ascii="PT Astra Serif" w:hAnsi="PT Astra Serif"/>
        </w:rPr>
        <w:t xml:space="preserve"> </w:t>
      </w:r>
      <w:r>
        <w:rPr>
          <w:rStyle w:val="af2"/>
          <w:rFonts w:ascii="PT Astra Serif" w:hAnsi="PT Astra Serif"/>
          <w:b w:val="0"/>
        </w:rPr>
        <w:t>УМВД России по Тульской области</w:t>
      </w:r>
      <w:r>
        <w:rPr>
          <w:rFonts w:ascii="inherit" w:hAnsi="inherit"/>
          <w:sz w:val="24"/>
        </w:rPr>
        <w:t xml:space="preserve"> </w:t>
      </w:r>
      <w:r>
        <w:rPr>
          <w:rFonts w:ascii="PT Astra Serif" w:hAnsi="PT Astra Serif"/>
        </w:rPr>
        <w:t>(4872) 32-22-85.</w:t>
      </w:r>
    </w:p>
    <w:p w14:paraId="0E000000" w14:textId="77777777" w:rsidR="00E044FE" w:rsidRDefault="00E044FE">
      <w:pPr>
        <w:ind w:firstLine="709"/>
        <w:rPr>
          <w:rFonts w:ascii="PT Astra Serif" w:hAnsi="PT Astra Serif"/>
        </w:rPr>
      </w:pPr>
    </w:p>
    <w:sectPr w:rsidR="00E044FE">
      <w:pgSz w:w="11906" w:h="16838"/>
      <w:pgMar w:top="1134" w:right="737" w:bottom="1134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FE"/>
    <w:rsid w:val="003240E7"/>
    <w:rsid w:val="00E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2923E-4915-460D-A509-0EA44027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b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pacing w:val="0"/>
      <w:sz w:val="24"/>
    </w:rPr>
  </w:style>
  <w:style w:type="paragraph" w:customStyle="1" w:styleId="Heading11">
    <w:name w:val="Heading 11"/>
    <w:link w:val="Heading110"/>
    <w:rPr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a5">
    <w:name w:val="Колонтитул"/>
    <w:link w:val="a6"/>
    <w:pPr>
      <w:jc w:val="both"/>
    </w:pPr>
    <w:rPr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pacing w:val="0"/>
      <w:sz w:val="28"/>
    </w:rPr>
  </w:style>
  <w:style w:type="paragraph" w:customStyle="1" w:styleId="Heading51">
    <w:name w:val="Heading 51"/>
    <w:link w:val="Heading510"/>
    <w:rPr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Subtitle1">
    <w:name w:val="Subtitle1"/>
    <w:link w:val="Subtitle10"/>
    <w:rPr>
      <w:i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XO Thames" w:hAnsi="XO Thames"/>
      <w:color w:val="0000FF"/>
      <w:spacing w:val="0"/>
      <w:sz w:val="24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Heading31">
    <w:name w:val="Heading 31"/>
    <w:link w:val="Heading310"/>
    <w:rPr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Contents7">
    <w:name w:val="Contents 7"/>
    <w:link w:val="Contents70"/>
    <w:rPr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7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9">
    <w:name w:val="Маркеры"/>
    <w:link w:val="aa"/>
    <w:rPr>
      <w:rFonts w:ascii="OpenSymbol" w:hAnsi="OpenSymbol"/>
    </w:rPr>
  </w:style>
  <w:style w:type="character" w:customStyle="1" w:styleId="aa">
    <w:name w:val="Маркеры"/>
    <w:link w:val="a9"/>
    <w:rPr>
      <w:rFonts w:ascii="OpenSymbol" w:hAnsi="OpenSymbol"/>
    </w:rPr>
  </w:style>
  <w:style w:type="paragraph" w:styleId="ab">
    <w:name w:val="List"/>
    <w:basedOn w:val="a7"/>
    <w:link w:val="ac"/>
    <w:rPr>
      <w:rFonts w:ascii="PT Astra Serif" w:hAnsi="PT Astra Serif"/>
    </w:rPr>
  </w:style>
  <w:style w:type="character" w:customStyle="1" w:styleId="ac">
    <w:name w:val="Список Знак"/>
    <w:basedOn w:val="a8"/>
    <w:link w:val="ab"/>
    <w:rPr>
      <w:rFonts w:ascii="PT Astra Serif" w:hAnsi="PT Astra Serif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"/>
    <w:link w:val="ae"/>
    <w:rPr>
      <w:rFonts w:ascii="PT Astra Serif" w:hAnsi="PT Astra Serif"/>
      <w:color w:val="000000"/>
      <w:spacing w:val="0"/>
      <w:sz w:val="28"/>
    </w:rPr>
  </w:style>
  <w:style w:type="paragraph" w:customStyle="1" w:styleId="Footnote1">
    <w:name w:val="Footnote1"/>
    <w:link w:val="Footnote10"/>
    <w:pPr>
      <w:ind w:firstLine="851"/>
      <w:jc w:val="both"/>
    </w:pPr>
    <w:rPr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Pr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5">
    <w:name w:val="Заголовок1"/>
    <w:basedOn w:val="1"/>
    <w:rPr>
      <w:rFonts w:ascii="PT Astra Serif" w:hAnsi="PT Astra Serif"/>
      <w:color w:val="000000"/>
      <w:spacing w:val="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16">
    <w:name w:val="Строгий1"/>
    <w:link w:val="af2"/>
    <w:rPr>
      <w:b/>
    </w:rPr>
  </w:style>
  <w:style w:type="character" w:styleId="af2">
    <w:name w:val="Strong"/>
    <w:link w:val="16"/>
    <w:rPr>
      <w:b/>
    </w:rPr>
  </w:style>
  <w:style w:type="paragraph" w:styleId="af3">
    <w:name w:val="Subtitle"/>
    <w:next w:val="a"/>
    <w:link w:val="af4"/>
    <w:uiPriority w:val="11"/>
    <w:qFormat/>
    <w:pPr>
      <w:jc w:val="both"/>
    </w:pPr>
    <w:rPr>
      <w:i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000000"/>
      <w:spacing w:val="0"/>
      <w:sz w:val="24"/>
    </w:rPr>
  </w:style>
  <w:style w:type="character" w:customStyle="1" w:styleId="af1">
    <w:name w:val="Заголовок Знак"/>
    <w:link w:val="af0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9">
    <w:name w:val="Contents 9"/>
    <w:link w:val="Contents90"/>
    <w:rPr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3240E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4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2</cp:revision>
  <cp:lastPrinted>2025-06-30T06:11:00Z</cp:lastPrinted>
  <dcterms:created xsi:type="dcterms:W3CDTF">2025-06-30T06:12:00Z</dcterms:created>
  <dcterms:modified xsi:type="dcterms:W3CDTF">2025-06-30T06:12:00Z</dcterms:modified>
</cp:coreProperties>
</file>